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4B172A98" w:rsidR="001877E3" w:rsidRDefault="00557B4F" w:rsidP="001877E3">
      <w:pPr>
        <w:pStyle w:val="TitleAbstractSSPCR"/>
      </w:pPr>
      <w:r w:rsidRPr="00557B4F">
        <w:t>POSITIVE ENERGY DISTRICTS: A CASE STUDY IN THE MEDITERRANEAN AREA</w:t>
      </w:r>
    </w:p>
    <w:p w14:paraId="1869B70D" w14:textId="3F115BA6" w:rsidR="001877E3" w:rsidRPr="004D7D1E" w:rsidRDefault="004D7D1E" w:rsidP="001877E3">
      <w:pPr>
        <w:pStyle w:val="AuthorNamesSSPCR"/>
        <w:rPr>
          <w:lang w:val="it-IT"/>
        </w:rPr>
      </w:pPr>
      <w:r w:rsidRPr="004D7D1E">
        <w:rPr>
          <w:lang w:val="it-IT"/>
        </w:rPr>
        <w:t>Francesco Guarino</w:t>
      </w:r>
      <w:r w:rsidR="001877E3">
        <w:rPr>
          <w:rStyle w:val="Rimandonotaapidipagina"/>
        </w:rPr>
        <w:footnoteReference w:id="2"/>
      </w:r>
      <w:r w:rsidR="001877E3" w:rsidRPr="004D7D1E">
        <w:rPr>
          <w:lang w:val="it-IT"/>
        </w:rPr>
        <w:t>,</w:t>
      </w:r>
      <w:r>
        <w:rPr>
          <w:lang w:val="it-IT"/>
        </w:rPr>
        <w:t xml:space="preserve"> </w:t>
      </w:r>
      <w:r w:rsidRPr="004D7D1E">
        <w:rPr>
          <w:lang w:val="it-IT"/>
        </w:rPr>
        <w:t>Roberta Rincione</w:t>
      </w:r>
      <w:r w:rsidRPr="004D7D1E">
        <w:rPr>
          <w:vertAlign w:val="superscript"/>
          <w:lang w:val="it-IT"/>
        </w:rPr>
        <w:t>1</w:t>
      </w:r>
      <w:r>
        <w:rPr>
          <w:lang w:val="it-IT"/>
        </w:rPr>
        <w:t>,</w:t>
      </w:r>
      <w:r w:rsidR="001877E3" w:rsidRPr="004D7D1E">
        <w:rPr>
          <w:lang w:val="it-IT"/>
        </w:rPr>
        <w:t xml:space="preserve"> </w:t>
      </w:r>
      <w:r w:rsidRPr="004D7D1E">
        <w:rPr>
          <w:lang w:val="it-IT"/>
        </w:rPr>
        <w:t>Luisa F. Cabeza</w:t>
      </w:r>
      <w:r w:rsidR="001877E3">
        <w:rPr>
          <w:rStyle w:val="Rimandonotaapidipagina"/>
        </w:rPr>
        <w:footnoteReference w:id="3"/>
      </w:r>
      <w:r>
        <w:rPr>
          <w:lang w:val="it-IT"/>
        </w:rPr>
        <w:t xml:space="preserve">, </w:t>
      </w:r>
      <w:r w:rsidRPr="004D7D1E">
        <w:rPr>
          <w:lang w:val="it-IT"/>
        </w:rPr>
        <w:t>Gemma Gasa</w:t>
      </w:r>
      <w:r w:rsidRPr="004D7D1E">
        <w:rPr>
          <w:vertAlign w:val="superscript"/>
          <w:lang w:val="it-IT"/>
        </w:rPr>
        <w:t>2</w:t>
      </w:r>
      <w:r w:rsidRPr="004D7D1E">
        <w:rPr>
          <w:lang w:val="it-IT"/>
        </w:rPr>
        <w:t xml:space="preserve">, </w:t>
      </w:r>
      <w:proofErr w:type="spellStart"/>
      <w:r w:rsidRPr="004D7D1E">
        <w:rPr>
          <w:lang w:val="it-IT"/>
        </w:rPr>
        <w:t>Carles</w:t>
      </w:r>
      <w:proofErr w:type="spellEnd"/>
      <w:r w:rsidRPr="004D7D1E">
        <w:rPr>
          <w:lang w:val="it-IT"/>
        </w:rPr>
        <w:t xml:space="preserve"> Mateu</w:t>
      </w:r>
      <w:r w:rsidRPr="004D7D1E">
        <w:rPr>
          <w:vertAlign w:val="superscript"/>
          <w:lang w:val="it-IT"/>
        </w:rPr>
        <w:t>2</w:t>
      </w:r>
      <w:r w:rsidRPr="004D7D1E">
        <w:rPr>
          <w:lang w:val="it-IT"/>
        </w:rPr>
        <w:t>, Maurizio Cellura</w:t>
      </w:r>
      <w:r w:rsidRPr="004D7D1E">
        <w:rPr>
          <w:vertAlign w:val="superscript"/>
          <w:lang w:val="it-IT"/>
        </w:rPr>
        <w:t>1</w:t>
      </w:r>
      <w:r w:rsidRPr="004D7D1E">
        <w:rPr>
          <w:lang w:val="it-IT"/>
        </w:rPr>
        <w:t>.</w:t>
      </w:r>
    </w:p>
    <w:p w14:paraId="02095FB8" w14:textId="0BC3B67B" w:rsidR="003F7A16" w:rsidRPr="00D26175" w:rsidRDefault="003F7A16" w:rsidP="00D26175">
      <w:pPr>
        <w:pStyle w:val="KeywordsSSPCR"/>
      </w:pPr>
      <w:r w:rsidRPr="00D26175">
        <w:t xml:space="preserve">Keywords: </w:t>
      </w:r>
      <w:r w:rsidR="004D7D1E" w:rsidRPr="004D7D1E">
        <w:t>Positive energy district</w:t>
      </w:r>
      <w:r w:rsidR="004D7D1E">
        <w:t xml:space="preserve">; </w:t>
      </w:r>
      <w:r w:rsidR="004D7D1E" w:rsidRPr="004D7D1E">
        <w:t>Sustainability assessment</w:t>
      </w:r>
      <w:r w:rsidR="004D7D1E">
        <w:t xml:space="preserve">; </w:t>
      </w:r>
      <w:r w:rsidR="004D7D1E" w:rsidRPr="004D7D1E">
        <w:t>Life Cycle Assessment</w:t>
      </w:r>
      <w:r w:rsidR="00557B4F">
        <w:t xml:space="preserve">; </w:t>
      </w:r>
      <w:r w:rsidR="004D7D1E" w:rsidRPr="004D7D1E">
        <w:t>building simulation</w:t>
      </w:r>
    </w:p>
    <w:p w14:paraId="391D3F7E" w14:textId="77777777" w:rsidR="00557B4F" w:rsidRPr="00557B4F" w:rsidRDefault="00557B4F" w:rsidP="00557B4F">
      <w:pPr>
        <w:rPr>
          <w:rFonts w:ascii="Arial" w:eastAsia="SimSun" w:hAnsi="Arial"/>
          <w:kern w:val="2"/>
          <w:sz w:val="20"/>
          <w:szCs w:val="21"/>
          <w:lang w:eastAsia="zh-CN"/>
        </w:rPr>
      </w:pPr>
      <w:r w:rsidRPr="00557B4F">
        <w:rPr>
          <w:rFonts w:ascii="Arial" w:eastAsia="SimSun" w:hAnsi="Arial"/>
          <w:kern w:val="2"/>
          <w:sz w:val="20"/>
          <w:szCs w:val="21"/>
          <w:lang w:eastAsia="zh-CN"/>
        </w:rPr>
        <w:t xml:space="preserve">The high impact of the built environment on the decarbonization of the energy sector is pushing towards the evolution of the zero energy building concept into </w:t>
      </w:r>
      <w:proofErr w:type="gramStart"/>
      <w:r w:rsidRPr="00557B4F">
        <w:rPr>
          <w:rFonts w:ascii="Arial" w:eastAsia="SimSun" w:hAnsi="Arial"/>
          <w:kern w:val="2"/>
          <w:sz w:val="20"/>
          <w:szCs w:val="21"/>
          <w:lang w:eastAsia="zh-CN"/>
        </w:rPr>
        <w:t>the  Positive</w:t>
      </w:r>
      <w:proofErr w:type="gramEnd"/>
      <w:r w:rsidRPr="00557B4F">
        <w:rPr>
          <w:rFonts w:ascii="Arial" w:eastAsia="SimSun" w:hAnsi="Arial"/>
          <w:kern w:val="2"/>
          <w:sz w:val="20"/>
          <w:szCs w:val="21"/>
          <w:lang w:eastAsia="zh-CN"/>
        </w:rPr>
        <w:t xml:space="preserve"> Energy Districts (PED) one, as declined by JPI Urban Europe and in the SETPLAN as energy flexible urban areas with annual net zero energy import that drive towards the achievement of carbon neutrality. In this context, the objective of the research is the analysis of the </w:t>
      </w:r>
      <w:proofErr w:type="gramStart"/>
      <w:r w:rsidRPr="00557B4F">
        <w:rPr>
          <w:rFonts w:ascii="Arial" w:eastAsia="SimSun" w:hAnsi="Arial"/>
          <w:kern w:val="2"/>
          <w:sz w:val="20"/>
          <w:szCs w:val="21"/>
          <w:lang w:eastAsia="zh-CN"/>
        </w:rPr>
        <w:t>potential  to</w:t>
      </w:r>
      <w:proofErr w:type="gramEnd"/>
      <w:r w:rsidRPr="00557B4F">
        <w:rPr>
          <w:rFonts w:ascii="Arial" w:eastAsia="SimSun" w:hAnsi="Arial"/>
          <w:kern w:val="2"/>
          <w:sz w:val="20"/>
          <w:szCs w:val="21"/>
          <w:lang w:eastAsia="zh-CN"/>
        </w:rPr>
        <w:t xml:space="preserve"> achieve the status of Positive Energy District of a neighborhood located in Balaguer (Lleida, Spain), and the assessment of environmental impacts of the redesign solutions required to reach it. The district is composed of five different non-residential buildings, with a total area of 3,354.44 m2. Data acquisition was performed for building characteristics, occupancy information, and energy uses within the buildings. The geometrical modeling was performed in SketchUp environment, and energy simulation and calibration was performed in </w:t>
      </w:r>
      <w:proofErr w:type="spellStart"/>
      <w:r w:rsidRPr="00557B4F">
        <w:rPr>
          <w:rFonts w:ascii="Arial" w:eastAsia="SimSun" w:hAnsi="Arial"/>
          <w:kern w:val="2"/>
          <w:sz w:val="20"/>
          <w:szCs w:val="21"/>
          <w:lang w:eastAsia="zh-CN"/>
        </w:rPr>
        <w:t>EnergyPlus</w:t>
      </w:r>
      <w:proofErr w:type="spellEnd"/>
      <w:r w:rsidRPr="00557B4F">
        <w:rPr>
          <w:rFonts w:ascii="Arial" w:eastAsia="SimSun" w:hAnsi="Arial"/>
          <w:kern w:val="2"/>
          <w:sz w:val="20"/>
          <w:szCs w:val="21"/>
          <w:lang w:eastAsia="zh-CN"/>
        </w:rPr>
        <w:t xml:space="preserve">. </w:t>
      </w:r>
    </w:p>
    <w:p w14:paraId="3219910D" w14:textId="77777777" w:rsidR="00557B4F" w:rsidRPr="00557B4F" w:rsidRDefault="00557B4F" w:rsidP="00557B4F">
      <w:pPr>
        <w:rPr>
          <w:rFonts w:ascii="Arial" w:eastAsia="SimSun" w:hAnsi="Arial"/>
          <w:kern w:val="2"/>
          <w:sz w:val="20"/>
          <w:szCs w:val="21"/>
          <w:lang w:eastAsia="zh-CN"/>
        </w:rPr>
      </w:pPr>
      <w:r w:rsidRPr="00557B4F">
        <w:rPr>
          <w:rFonts w:ascii="Arial" w:eastAsia="SimSun" w:hAnsi="Arial"/>
          <w:kern w:val="2"/>
          <w:sz w:val="20"/>
          <w:szCs w:val="21"/>
          <w:lang w:eastAsia="zh-CN"/>
        </w:rPr>
        <w:t xml:space="preserve">Different retrofit scenarios to achieve high energy performances were investigated at the district level also including on-site generation of energy from renewable sources, their environmental impacts investigated </w:t>
      </w:r>
      <w:proofErr w:type="gramStart"/>
      <w:r w:rsidRPr="00557B4F">
        <w:rPr>
          <w:rFonts w:ascii="Arial" w:eastAsia="SimSun" w:hAnsi="Arial"/>
          <w:kern w:val="2"/>
          <w:sz w:val="20"/>
          <w:szCs w:val="21"/>
          <w:lang w:eastAsia="zh-CN"/>
        </w:rPr>
        <w:t>through the use of</w:t>
      </w:r>
      <w:proofErr w:type="gramEnd"/>
      <w:r w:rsidRPr="00557B4F">
        <w:rPr>
          <w:rFonts w:ascii="Arial" w:eastAsia="SimSun" w:hAnsi="Arial"/>
          <w:kern w:val="2"/>
          <w:sz w:val="20"/>
          <w:szCs w:val="21"/>
          <w:lang w:eastAsia="zh-CN"/>
        </w:rPr>
        <w:t xml:space="preserve"> the Life Cycle Assessment methodology. </w:t>
      </w:r>
    </w:p>
    <w:p w14:paraId="3F2F61F6" w14:textId="19DE761E" w:rsidR="00C669FE" w:rsidRPr="00C669FE" w:rsidRDefault="00557B4F" w:rsidP="00557B4F">
      <w:pPr>
        <w:rPr>
          <w:lang w:eastAsia="zh-CN"/>
        </w:rPr>
      </w:pPr>
      <w:r w:rsidRPr="00557B4F">
        <w:rPr>
          <w:rFonts w:ascii="Arial" w:eastAsia="SimSun" w:hAnsi="Arial"/>
          <w:kern w:val="2"/>
          <w:sz w:val="20"/>
          <w:szCs w:val="21"/>
          <w:lang w:eastAsia="zh-CN"/>
        </w:rPr>
        <w:t xml:space="preserve">The results show that the PED target can be achieved as well as a significant reduction in consumption compared to the initial scenario through simple redesign solutions of around 30% of electrical consumption and roughly 40% of the thermal needs. The overall life </w:t>
      </w:r>
      <w:proofErr w:type="gramStart"/>
      <w:r w:rsidRPr="00557B4F">
        <w:rPr>
          <w:rFonts w:ascii="Arial" w:eastAsia="SimSun" w:hAnsi="Arial"/>
          <w:kern w:val="2"/>
          <w:sz w:val="20"/>
          <w:szCs w:val="21"/>
          <w:lang w:eastAsia="zh-CN"/>
        </w:rPr>
        <w:t>cycle  CO</w:t>
      </w:r>
      <w:proofErr w:type="gramEnd"/>
      <w:r w:rsidRPr="00557B4F">
        <w:rPr>
          <w:rFonts w:ascii="Arial" w:eastAsia="SimSun" w:hAnsi="Arial"/>
          <w:kern w:val="2"/>
          <w:sz w:val="20"/>
          <w:szCs w:val="21"/>
          <w:lang w:eastAsia="zh-CN"/>
        </w:rPr>
        <w:t xml:space="preserve">2eq is equal to 16.6 kg CO2eq/(m2·y) in the initial scenario and 9.4 kg CO2eq/(m2·y) in the redesign scenario. </w:t>
      </w:r>
      <w:proofErr w:type="gramStart"/>
      <w:r w:rsidRPr="00557B4F">
        <w:rPr>
          <w:rFonts w:ascii="Arial" w:eastAsia="SimSun" w:hAnsi="Arial"/>
          <w:kern w:val="2"/>
          <w:sz w:val="20"/>
          <w:szCs w:val="21"/>
          <w:lang w:eastAsia="zh-CN"/>
        </w:rPr>
        <w:t>Also</w:t>
      </w:r>
      <w:proofErr w:type="gramEnd"/>
      <w:r w:rsidRPr="00557B4F">
        <w:rPr>
          <w:rFonts w:ascii="Arial" w:eastAsia="SimSun" w:hAnsi="Arial"/>
          <w:kern w:val="2"/>
          <w:sz w:val="20"/>
          <w:szCs w:val="21"/>
          <w:lang w:eastAsia="zh-CN"/>
        </w:rPr>
        <w:t xml:space="preserve"> a significant reduction 43.75% in carbon uses is achievable where the increase of embodied carbon is offset by the significant reduction </w:t>
      </w:r>
      <w:r w:rsidRPr="00557B4F">
        <w:rPr>
          <w:rFonts w:ascii="Arial" w:eastAsia="SimSun" w:hAnsi="Arial"/>
          <w:kern w:val="2"/>
          <w:sz w:val="20"/>
          <w:szCs w:val="21"/>
          <w:lang w:eastAsia="zh-CN"/>
        </w:rPr>
        <w:lastRenderedPageBreak/>
        <w:t xml:space="preserve">in use stage energy uses. An analysis of the state of the buildings and the subsequent interventions </w:t>
      </w:r>
      <w:proofErr w:type="gramStart"/>
      <w:r w:rsidRPr="00557B4F">
        <w:rPr>
          <w:rFonts w:ascii="Arial" w:eastAsia="SimSun" w:hAnsi="Arial"/>
          <w:kern w:val="2"/>
          <w:sz w:val="20"/>
          <w:szCs w:val="21"/>
          <w:lang w:eastAsia="zh-CN"/>
        </w:rPr>
        <w:t>show</w:t>
      </w:r>
      <w:proofErr w:type="gramEnd"/>
      <w:r w:rsidRPr="00557B4F">
        <w:rPr>
          <w:rFonts w:ascii="Arial" w:eastAsia="SimSun" w:hAnsi="Arial"/>
          <w:kern w:val="2"/>
          <w:sz w:val="20"/>
          <w:szCs w:val="21"/>
          <w:lang w:eastAsia="zh-CN"/>
        </w:rPr>
        <w:t xml:space="preserve"> that reaching the PED target is the right direction for achieving significant carbon reduction and better energy planning, where achieving zero balance is easier with more actors helping to mediate the difference at the individual building level.</w:t>
      </w:r>
    </w:p>
    <w:p w14:paraId="6550070D" w14:textId="48AC4FFE" w:rsidR="001877E3" w:rsidRDefault="001877E3" w:rsidP="007B6E02">
      <w:pPr>
        <w:pStyle w:val="AbstractAcknowledgementTextSSPCR"/>
        <w:numPr>
          <w:ilvl w:val="0"/>
          <w:numId w:val="0"/>
        </w:numPr>
        <w:ind w:left="720"/>
      </w:pPr>
    </w:p>
    <w:p w14:paraId="248EA619" w14:textId="60B609AB" w:rsidR="001877E3" w:rsidRPr="00062258" w:rsidRDefault="001877E3" w:rsidP="001A3D9E">
      <w:pPr>
        <w:pStyle w:val="KeywordsSSPC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E3305" w14:textId="77777777" w:rsidR="00223977" w:rsidRDefault="00223977" w:rsidP="008279F5">
      <w:pPr>
        <w:spacing w:after="0"/>
      </w:pPr>
      <w:r>
        <w:separator/>
      </w:r>
    </w:p>
  </w:endnote>
  <w:endnote w:type="continuationSeparator" w:id="0">
    <w:p w14:paraId="35382391" w14:textId="77777777" w:rsidR="00223977" w:rsidRDefault="00223977" w:rsidP="008279F5">
      <w:pPr>
        <w:spacing w:after="0"/>
      </w:pPr>
      <w:r>
        <w:continuationSeparator/>
      </w:r>
    </w:p>
  </w:endnote>
  <w:endnote w:type="continuationNotice" w:id="1">
    <w:p w14:paraId="6EC40D72" w14:textId="77777777" w:rsidR="00223977" w:rsidRDefault="00223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65868" w14:textId="77777777" w:rsidR="00223977" w:rsidRDefault="00223977" w:rsidP="008279F5">
      <w:pPr>
        <w:spacing w:after="0"/>
      </w:pPr>
      <w:r>
        <w:separator/>
      </w:r>
    </w:p>
  </w:footnote>
  <w:footnote w:type="continuationSeparator" w:id="0">
    <w:p w14:paraId="68E3159B" w14:textId="77777777" w:rsidR="00223977" w:rsidRDefault="00223977" w:rsidP="008279F5">
      <w:pPr>
        <w:spacing w:after="0"/>
      </w:pPr>
      <w:r>
        <w:continuationSeparator/>
      </w:r>
    </w:p>
  </w:footnote>
  <w:footnote w:type="continuationNotice" w:id="1">
    <w:p w14:paraId="7F95F197" w14:textId="77777777" w:rsidR="00223977" w:rsidRDefault="00223977">
      <w:pPr>
        <w:spacing w:after="0"/>
      </w:pPr>
    </w:p>
  </w:footnote>
  <w:footnote w:id="2">
    <w:p w14:paraId="05D0EE84" w14:textId="106E65BC"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4D7D1E" w:rsidRPr="004D7D1E">
        <w:rPr>
          <w:sz w:val="16"/>
          <w:szCs w:val="16"/>
          <w:lang w:val="en-US"/>
        </w:rPr>
        <w:t xml:space="preserve">University of Palermo, Viale </w:t>
      </w:r>
      <w:proofErr w:type="spellStart"/>
      <w:r w:rsidR="004D7D1E" w:rsidRPr="004D7D1E">
        <w:rPr>
          <w:sz w:val="16"/>
          <w:szCs w:val="16"/>
          <w:lang w:val="en-US"/>
        </w:rPr>
        <w:t>delle</w:t>
      </w:r>
      <w:proofErr w:type="spellEnd"/>
      <w:r w:rsidR="004D7D1E" w:rsidRPr="004D7D1E">
        <w:rPr>
          <w:sz w:val="16"/>
          <w:szCs w:val="16"/>
          <w:lang w:val="en-US"/>
        </w:rPr>
        <w:t xml:space="preserve"> </w:t>
      </w:r>
      <w:proofErr w:type="spellStart"/>
      <w:r w:rsidR="004D7D1E" w:rsidRPr="004D7D1E">
        <w:rPr>
          <w:sz w:val="16"/>
          <w:szCs w:val="16"/>
          <w:lang w:val="en-US"/>
        </w:rPr>
        <w:t>scienze</w:t>
      </w:r>
      <w:proofErr w:type="spellEnd"/>
      <w:r w:rsidR="004D7D1E" w:rsidRPr="004D7D1E">
        <w:rPr>
          <w:sz w:val="16"/>
          <w:szCs w:val="16"/>
          <w:lang w:val="en-US"/>
        </w:rPr>
        <w:t>, Building 9, 90128 Palermo (Italy)</w:t>
      </w:r>
      <w:r w:rsidR="004D7D1E">
        <w:rPr>
          <w:sz w:val="16"/>
          <w:szCs w:val="16"/>
          <w:lang w:val="en-US"/>
        </w:rPr>
        <w:t xml:space="preserve">, </w:t>
      </w:r>
      <w:r w:rsidR="004D7D1E" w:rsidRPr="004D7D1E">
        <w:rPr>
          <w:sz w:val="16"/>
          <w:szCs w:val="16"/>
          <w:lang w:val="en-US"/>
        </w:rPr>
        <w:t>francesco.guarino@unipa.it</w:t>
      </w:r>
    </w:p>
  </w:footnote>
  <w:footnote w:id="3">
    <w:p w14:paraId="4EE29081" w14:textId="2CF80F3B" w:rsidR="004D7D1E"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4D7D1E" w:rsidRPr="004D7D1E">
        <w:rPr>
          <w:sz w:val="16"/>
          <w:szCs w:val="16"/>
          <w:lang w:val="en-US"/>
        </w:rPr>
        <w:t xml:space="preserve">GREiA Research Group, </w:t>
      </w:r>
      <w:proofErr w:type="spellStart"/>
      <w:r w:rsidR="004D7D1E" w:rsidRPr="004D7D1E">
        <w:rPr>
          <w:sz w:val="16"/>
          <w:szCs w:val="16"/>
          <w:lang w:val="en-US"/>
        </w:rPr>
        <w:t>Universitat</w:t>
      </w:r>
      <w:proofErr w:type="spellEnd"/>
      <w:r w:rsidR="004D7D1E" w:rsidRPr="004D7D1E">
        <w:rPr>
          <w:sz w:val="16"/>
          <w:szCs w:val="16"/>
          <w:lang w:val="en-US"/>
        </w:rPr>
        <w:t xml:space="preserve"> de Lleida, Pere de Cabrera s/n, 25001 Lleida, Spain</w:t>
      </w:r>
      <w:r w:rsidR="004D7D1E">
        <w:rPr>
          <w:sz w:val="16"/>
          <w:szCs w:val="16"/>
          <w:lang w:val="en-US"/>
        </w:rPr>
        <w:t xml:space="preserve">, </w:t>
      </w:r>
      <w:r w:rsidR="004D7D1E" w:rsidRPr="004D7D1E">
        <w:rPr>
          <w:sz w:val="16"/>
          <w:szCs w:val="16"/>
          <w:lang w:val="en-US"/>
        </w:rPr>
        <w:t>luisaf.cabeza@udl.cat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8452233">
    <w:abstractNumId w:val="2"/>
  </w:num>
  <w:num w:numId="2" w16cid:durableId="2067490721">
    <w:abstractNumId w:val="19"/>
  </w:num>
  <w:num w:numId="3" w16cid:durableId="1745948621">
    <w:abstractNumId w:val="13"/>
  </w:num>
  <w:num w:numId="4" w16cid:durableId="235674025">
    <w:abstractNumId w:val="9"/>
  </w:num>
  <w:num w:numId="5" w16cid:durableId="885533246">
    <w:abstractNumId w:val="4"/>
  </w:num>
  <w:num w:numId="6" w16cid:durableId="1223564985">
    <w:abstractNumId w:val="5"/>
  </w:num>
  <w:num w:numId="7" w16cid:durableId="1875657316">
    <w:abstractNumId w:val="7"/>
  </w:num>
  <w:num w:numId="8" w16cid:durableId="1574730495">
    <w:abstractNumId w:val="31"/>
  </w:num>
  <w:num w:numId="9" w16cid:durableId="1644237293">
    <w:abstractNumId w:val="27"/>
  </w:num>
  <w:num w:numId="10" w16cid:durableId="384110621">
    <w:abstractNumId w:val="21"/>
  </w:num>
  <w:num w:numId="11" w16cid:durableId="1840777651">
    <w:abstractNumId w:val="10"/>
  </w:num>
  <w:num w:numId="12" w16cid:durableId="830633790">
    <w:abstractNumId w:val="39"/>
  </w:num>
  <w:num w:numId="13" w16cid:durableId="1342783315">
    <w:abstractNumId w:val="32"/>
  </w:num>
  <w:num w:numId="14" w16cid:durableId="1513563816">
    <w:abstractNumId w:val="23"/>
  </w:num>
  <w:num w:numId="15" w16cid:durableId="180440522">
    <w:abstractNumId w:val="40"/>
  </w:num>
  <w:num w:numId="16" w16cid:durableId="877669757">
    <w:abstractNumId w:val="33"/>
  </w:num>
  <w:num w:numId="17" w16cid:durableId="1508136737">
    <w:abstractNumId w:val="29"/>
  </w:num>
  <w:num w:numId="18" w16cid:durableId="1153060573">
    <w:abstractNumId w:val="17"/>
  </w:num>
  <w:num w:numId="19" w16cid:durableId="905528207">
    <w:abstractNumId w:val="25"/>
  </w:num>
  <w:num w:numId="20" w16cid:durableId="115413695">
    <w:abstractNumId w:val="16"/>
  </w:num>
  <w:num w:numId="21" w16cid:durableId="1924414841">
    <w:abstractNumId w:val="3"/>
  </w:num>
  <w:num w:numId="22" w16cid:durableId="753014344">
    <w:abstractNumId w:val="35"/>
  </w:num>
  <w:num w:numId="23" w16cid:durableId="1108550267">
    <w:abstractNumId w:val="6"/>
  </w:num>
  <w:num w:numId="24" w16cid:durableId="1805191995">
    <w:abstractNumId w:val="36"/>
  </w:num>
  <w:num w:numId="25" w16cid:durableId="939871090">
    <w:abstractNumId w:val="38"/>
  </w:num>
  <w:num w:numId="26" w16cid:durableId="2065987318">
    <w:abstractNumId w:val="11"/>
  </w:num>
  <w:num w:numId="27" w16cid:durableId="1718433153">
    <w:abstractNumId w:val="8"/>
  </w:num>
  <w:num w:numId="28" w16cid:durableId="925458745">
    <w:abstractNumId w:val="28"/>
  </w:num>
  <w:num w:numId="29" w16cid:durableId="576523295">
    <w:abstractNumId w:val="26"/>
  </w:num>
  <w:num w:numId="30" w16cid:durableId="835387718">
    <w:abstractNumId w:val="37"/>
  </w:num>
  <w:num w:numId="31" w16cid:durableId="509564433">
    <w:abstractNumId w:val="15"/>
  </w:num>
  <w:num w:numId="32" w16cid:durableId="120271638">
    <w:abstractNumId w:val="1"/>
  </w:num>
  <w:num w:numId="33" w16cid:durableId="1795252074">
    <w:abstractNumId w:val="34"/>
  </w:num>
  <w:num w:numId="34" w16cid:durableId="850535500">
    <w:abstractNumId w:val="20"/>
  </w:num>
  <w:num w:numId="35" w16cid:durableId="1734691382">
    <w:abstractNumId w:val="30"/>
  </w:num>
  <w:num w:numId="36" w16cid:durableId="1704864973">
    <w:abstractNumId w:val="14"/>
  </w:num>
  <w:num w:numId="37" w16cid:durableId="1112748754">
    <w:abstractNumId w:val="0"/>
  </w:num>
  <w:num w:numId="38" w16cid:durableId="662784475">
    <w:abstractNumId w:val="24"/>
  </w:num>
  <w:num w:numId="39" w16cid:durableId="330916103">
    <w:abstractNumId w:val="22"/>
  </w:num>
  <w:num w:numId="40" w16cid:durableId="1329795931">
    <w:abstractNumId w:val="18"/>
  </w:num>
  <w:num w:numId="41" w16cid:durableId="667094320">
    <w:abstractNumId w:val="24"/>
  </w:num>
  <w:num w:numId="42" w16cid:durableId="267397536">
    <w:abstractNumId w:val="24"/>
  </w:num>
  <w:num w:numId="43" w16cid:durableId="1185091518">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3D9E"/>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3977"/>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1644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D7D1E"/>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57B4F"/>
    <w:rsid w:val="0057161B"/>
    <w:rsid w:val="00576965"/>
    <w:rsid w:val="00576F41"/>
    <w:rsid w:val="00577B4A"/>
    <w:rsid w:val="00586210"/>
    <w:rsid w:val="00591242"/>
    <w:rsid w:val="005917DA"/>
    <w:rsid w:val="00593FB0"/>
    <w:rsid w:val="00595F0C"/>
    <w:rsid w:val="00596573"/>
    <w:rsid w:val="00597D4F"/>
    <w:rsid w:val="005A4913"/>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2.xml><?xml version="1.0" encoding="utf-8"?>
<ds:datastoreItem xmlns:ds="http://schemas.openxmlformats.org/officeDocument/2006/customXml" ds:itemID="{A4370999-8697-4CB7-857F-AE27B9920EA1}"/>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364</Words>
  <Characters>2078</Characters>
  <Application>Microsoft Office Word</Application>
  <DocSecurity>0</DocSecurity>
  <Lines>17</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2438</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5</cp:revision>
  <cp:lastPrinted>2017-03-13T18:23:00Z</cp:lastPrinted>
  <dcterms:created xsi:type="dcterms:W3CDTF">2022-06-28T09:27:00Z</dcterms:created>
  <dcterms:modified xsi:type="dcterms:W3CDTF">2022-06-28T09:33:00Z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